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CB61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</w:p>
    <w:p w14:paraId="0DA3878D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海南热带海洋学院2025年省级特色重点学科-海洋科学项目需求清单</w:t>
      </w:r>
    </w:p>
    <w:tbl>
      <w:tblPr>
        <w:tblStyle w:val="2"/>
        <w:tblpPr w:leftFromText="180" w:rightFromText="180" w:vertAnchor="text" w:horzAnchor="page" w:tblpX="1561" w:tblpY="17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82"/>
        <w:gridCol w:w="1300"/>
        <w:gridCol w:w="1425"/>
        <w:gridCol w:w="5432"/>
        <w:gridCol w:w="734"/>
        <w:gridCol w:w="526"/>
        <w:gridCol w:w="885"/>
        <w:gridCol w:w="970"/>
        <w:gridCol w:w="907"/>
      </w:tblGrid>
      <w:tr w14:paraId="178D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231" w:type="pct"/>
            <w:noWrap w:val="0"/>
            <w:vAlign w:val="center"/>
          </w:tcPr>
          <w:p w14:paraId="2C6BFA3A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486" w:type="pct"/>
            <w:noWrap w:val="0"/>
            <w:vAlign w:val="center"/>
          </w:tcPr>
          <w:p w14:paraId="4BDC9B7B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采购标的名称</w:t>
            </w:r>
          </w:p>
        </w:tc>
        <w:tc>
          <w:tcPr>
            <w:tcW w:w="457" w:type="pct"/>
            <w:noWrap w:val="0"/>
            <w:vAlign w:val="center"/>
          </w:tcPr>
          <w:p w14:paraId="27639D1E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品目分类编码</w:t>
            </w:r>
          </w:p>
        </w:tc>
        <w:tc>
          <w:tcPr>
            <w:tcW w:w="501" w:type="pct"/>
            <w:noWrap w:val="0"/>
            <w:vAlign w:val="center"/>
          </w:tcPr>
          <w:p w14:paraId="30F2770B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</w:p>
        </w:tc>
        <w:tc>
          <w:tcPr>
            <w:tcW w:w="1910" w:type="pct"/>
            <w:noWrap w:val="0"/>
            <w:vAlign w:val="center"/>
          </w:tcPr>
          <w:p w14:paraId="5EBBEDC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技术参数</w:t>
            </w:r>
          </w:p>
        </w:tc>
        <w:tc>
          <w:tcPr>
            <w:tcW w:w="258" w:type="pct"/>
            <w:noWrap w:val="0"/>
            <w:vAlign w:val="center"/>
          </w:tcPr>
          <w:p w14:paraId="6B30A027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计量单位</w:t>
            </w:r>
          </w:p>
        </w:tc>
        <w:tc>
          <w:tcPr>
            <w:tcW w:w="185" w:type="pct"/>
            <w:noWrap w:val="0"/>
            <w:vAlign w:val="center"/>
          </w:tcPr>
          <w:p w14:paraId="2B65A080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311" w:type="pct"/>
            <w:noWrap w:val="0"/>
            <w:vAlign w:val="center"/>
          </w:tcPr>
          <w:p w14:paraId="18A0D373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341" w:type="pct"/>
            <w:noWrap w:val="0"/>
            <w:vAlign w:val="center"/>
          </w:tcPr>
          <w:p w14:paraId="33CBD102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小计</w:t>
            </w:r>
          </w:p>
        </w:tc>
        <w:tc>
          <w:tcPr>
            <w:tcW w:w="317" w:type="pct"/>
            <w:noWrap w:val="0"/>
            <w:vAlign w:val="center"/>
          </w:tcPr>
          <w:p w14:paraId="07F4F89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是否进口</w:t>
            </w:r>
          </w:p>
        </w:tc>
      </w:tr>
      <w:tr w14:paraId="36F2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231" w:type="pct"/>
            <w:noWrap w:val="0"/>
            <w:vAlign w:val="center"/>
          </w:tcPr>
          <w:p w14:paraId="0B0663A3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86" w:type="pct"/>
            <w:noWrap w:val="0"/>
            <w:vAlign w:val="center"/>
          </w:tcPr>
          <w:p w14:paraId="27022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电动堆高叉车</w:t>
            </w:r>
          </w:p>
        </w:tc>
        <w:tc>
          <w:tcPr>
            <w:tcW w:w="457" w:type="pct"/>
            <w:noWrap w:val="0"/>
            <w:vAlign w:val="center"/>
          </w:tcPr>
          <w:p w14:paraId="0708433E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noWrap w:val="0"/>
            <w:vAlign w:val="center"/>
          </w:tcPr>
          <w:p w14:paraId="285A6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合力CDD15J</w:t>
            </w:r>
          </w:p>
        </w:tc>
        <w:tc>
          <w:tcPr>
            <w:tcW w:w="1910" w:type="pct"/>
            <w:noWrap w:val="0"/>
            <w:vAlign w:val="center"/>
          </w:tcPr>
          <w:p w14:paraId="6F180B3F"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额定载荷不小于1500KG</w:t>
            </w:r>
          </w:p>
          <w:p w14:paraId="07E42FFC"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提升高度不小于于2000mm</w:t>
            </w:r>
          </w:p>
        </w:tc>
        <w:tc>
          <w:tcPr>
            <w:tcW w:w="258" w:type="pct"/>
            <w:noWrap w:val="0"/>
            <w:vAlign w:val="center"/>
          </w:tcPr>
          <w:p w14:paraId="5E07F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台</w:t>
            </w:r>
          </w:p>
        </w:tc>
        <w:tc>
          <w:tcPr>
            <w:tcW w:w="185" w:type="pct"/>
            <w:noWrap w:val="0"/>
            <w:vAlign w:val="center"/>
          </w:tcPr>
          <w:p w14:paraId="771B8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11" w:type="pct"/>
            <w:noWrap w:val="0"/>
            <w:vAlign w:val="center"/>
          </w:tcPr>
          <w:p w14:paraId="708433D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" w:type="pct"/>
            <w:noWrap w:val="0"/>
            <w:vAlign w:val="center"/>
          </w:tcPr>
          <w:p w14:paraId="5E3E0AC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7" w:type="pct"/>
            <w:noWrap w:val="0"/>
            <w:vAlign w:val="center"/>
          </w:tcPr>
          <w:p w14:paraId="7E53033F">
            <w:pPr>
              <w:jc w:val="center"/>
              <w:rPr>
                <w:szCs w:val="21"/>
              </w:rPr>
            </w:pPr>
          </w:p>
        </w:tc>
      </w:tr>
      <w:tr w14:paraId="31D7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exact"/>
        </w:trPr>
        <w:tc>
          <w:tcPr>
            <w:tcW w:w="231" w:type="pct"/>
            <w:noWrap w:val="0"/>
            <w:vAlign w:val="center"/>
          </w:tcPr>
          <w:p w14:paraId="5CB49F1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6" w:type="pct"/>
            <w:noWrap w:val="0"/>
            <w:vAlign w:val="center"/>
          </w:tcPr>
          <w:p w14:paraId="53911D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全自动无侧限压缩仪</w:t>
            </w:r>
          </w:p>
        </w:tc>
        <w:tc>
          <w:tcPr>
            <w:tcW w:w="457" w:type="pct"/>
            <w:noWrap w:val="0"/>
            <w:vAlign w:val="center"/>
          </w:tcPr>
          <w:p w14:paraId="620D6287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noWrap w:val="0"/>
            <w:vAlign w:val="center"/>
          </w:tcPr>
          <w:p w14:paraId="25D6C6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泰克奥、TKA-WXY-10F</w:t>
            </w:r>
          </w:p>
        </w:tc>
        <w:tc>
          <w:tcPr>
            <w:tcW w:w="1910" w:type="pct"/>
            <w:noWrap w:val="0"/>
            <w:vAlign w:val="center"/>
          </w:tcPr>
          <w:p w14:paraId="4891BB29">
            <w:pPr>
              <w:jc w:val="left"/>
              <w:rPr>
                <w:rFonts w:hint="default" w:ascii="Times New Roman" w:hAnsi="Times New Roman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一、主要参数</w:t>
            </w:r>
          </w:p>
          <w:p w14:paraId="1ECE8E4C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1、主机：采用液晶微机控制，240*128高分辨率液晶显示，轴向力、轴向位移等值；速度：0.00001-20mm/min，无级调速，液晶显示；具有快进和快退功能，所有操作一键执行；配套4套LED状态指示灯，用于显示仪器工作状态；</w:t>
            </w:r>
          </w:p>
          <w:p w14:paraId="3505A2C2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2、最大轴力100kN；</w:t>
            </w:r>
          </w:p>
          <w:p w14:paraId="01AB8B84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3、试样最大尺寸：Ø150mm；</w:t>
            </w:r>
          </w:p>
          <w:p w14:paraId="362939A6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4、自动控制和采集处理软件。</w:t>
            </w:r>
          </w:p>
          <w:p w14:paraId="4A8E1B01">
            <w:pPr>
              <w:jc w:val="left"/>
              <w:rPr>
                <w:rFonts w:hint="default" w:ascii="Times New Roman" w:hAnsi="Times New Roman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二、主要配置</w:t>
            </w:r>
          </w:p>
          <w:p w14:paraId="227EA8B0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1、一套主机；</w:t>
            </w:r>
          </w:p>
          <w:p w14:paraId="18CE76FA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2、一套荷重传感器以及安装附件，0-100kN，精度+/-0.1%F.S；</w:t>
            </w:r>
          </w:p>
          <w:p w14:paraId="1466C1C4">
            <w:pPr>
              <w:jc w:val="left"/>
              <w:rPr>
                <w:rFonts w:hint="default" w:ascii="Times New Roman" w:hAnsi="Times New Roman" w:cs="Times New Roman"/>
                <w:sz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3、包括试样加载法兰盘和加载反压帽；</w:t>
            </w:r>
          </w:p>
          <w:p w14:paraId="686C9C52">
            <w:pPr>
              <w:jc w:val="left"/>
              <w:rPr>
                <w:sz w:val="10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</w:rPr>
              <w:t>4、一套力淮无侧限压缩测试软件V3.11：可控制和采集处理试验数据、实时显示各类曲线（位移、应力、应变等参数曲线）、可控制剪切速度，实现全自动控制；配套后处理模块，可以处理各类试验数据，自动生成报表，并保存曲线，配套加载阶段、静置阶段和卸载阶段三个模块。</w:t>
            </w:r>
          </w:p>
        </w:tc>
        <w:tc>
          <w:tcPr>
            <w:tcW w:w="258" w:type="pct"/>
            <w:noWrap w:val="0"/>
            <w:vAlign w:val="center"/>
          </w:tcPr>
          <w:p w14:paraId="723219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185" w:type="pct"/>
            <w:noWrap w:val="0"/>
            <w:vAlign w:val="center"/>
          </w:tcPr>
          <w:p w14:paraId="732B59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1" w:type="pct"/>
            <w:noWrap w:val="0"/>
            <w:vAlign w:val="center"/>
          </w:tcPr>
          <w:p w14:paraId="3F18450D">
            <w:pPr>
              <w:jc w:val="center"/>
              <w:rPr>
                <w:szCs w:val="21"/>
              </w:rPr>
            </w:pPr>
          </w:p>
        </w:tc>
        <w:tc>
          <w:tcPr>
            <w:tcW w:w="341" w:type="pct"/>
            <w:noWrap w:val="0"/>
            <w:vAlign w:val="center"/>
          </w:tcPr>
          <w:p w14:paraId="24395263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noWrap w:val="0"/>
            <w:vAlign w:val="center"/>
          </w:tcPr>
          <w:p w14:paraId="63901705">
            <w:pPr>
              <w:jc w:val="center"/>
              <w:rPr>
                <w:szCs w:val="21"/>
              </w:rPr>
            </w:pPr>
          </w:p>
        </w:tc>
      </w:tr>
      <w:tr w14:paraId="412B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exact"/>
        </w:trPr>
        <w:tc>
          <w:tcPr>
            <w:tcW w:w="231" w:type="pct"/>
            <w:noWrap w:val="0"/>
            <w:vAlign w:val="center"/>
          </w:tcPr>
          <w:p w14:paraId="05D20A0E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86" w:type="pct"/>
            <w:noWrap w:val="0"/>
            <w:vAlign w:val="center"/>
          </w:tcPr>
          <w:p w14:paraId="5CB616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多参数水质分析仪</w:t>
            </w:r>
          </w:p>
        </w:tc>
        <w:tc>
          <w:tcPr>
            <w:tcW w:w="457" w:type="pct"/>
            <w:noWrap w:val="0"/>
            <w:vAlign w:val="center"/>
          </w:tcPr>
          <w:p w14:paraId="514DB1CA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noWrap w:val="0"/>
            <w:vAlign w:val="center"/>
          </w:tcPr>
          <w:p w14:paraId="76D1CE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雷磁DZB-712F</w:t>
            </w:r>
          </w:p>
        </w:tc>
        <w:tc>
          <w:tcPr>
            <w:tcW w:w="1910" w:type="pct"/>
            <w:noWrap w:val="0"/>
            <w:vAlign w:val="center"/>
          </w:tcPr>
          <w:p w14:paraId="343E3FC4">
            <w:pPr>
              <w:ind w:left="336" w:hanging="33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rFonts w:ascii="宋体" w:hAnsi="宋体" w:cs="宋体"/>
                <w:sz w:val="18"/>
              </w:rPr>
              <w:t>支持 pH/pX、离子、电导、溶解氧、温度等相关参数的测量；测量支持平衡条件判断，平衡条件提示；支持电极校正；</w:t>
            </w:r>
          </w:p>
          <w:p w14:paraId="2BDA711C">
            <w:pPr>
              <w:ind w:left="336" w:hanging="33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rFonts w:ascii="宋体" w:hAnsi="宋体" w:cs="宋体"/>
                <w:sz w:val="18"/>
              </w:rPr>
              <w:t>pH/pX级别：0.01级，电导率级别：1.0级，pH/pX：(-2.00-20.00)pH/pX，mV ：(-2000.0-2000.0)mV；电导率：0.000 uS/cm-1000 mS/cm，电阻率：5.00Ω.cm-20.00MΩ.cm</w:t>
            </w:r>
          </w:p>
          <w:p w14:paraId="4DCBCA8D">
            <w:pPr>
              <w:ind w:left="336" w:hanging="336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rFonts w:ascii="宋体" w:hAnsi="宋体" w:cs="宋体"/>
                <w:sz w:val="18"/>
              </w:rPr>
              <w:t>TDS：0.00 mg/L-300g/L，离子浓度：(0-19990)，可选单位mol/L，mmol/L，g/L，mg/L，ug/L</w:t>
            </w:r>
          </w:p>
          <w:p w14:paraId="5832B03D">
            <w:pPr>
              <w:ind w:left="336" w:hanging="336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rFonts w:ascii="宋体" w:hAnsi="宋体" w:cs="宋体"/>
                <w:sz w:val="18"/>
              </w:rPr>
              <w:t>温度：(-5.0-110.0)℃，盐度：(0.00-8.00)%，溶解氧：(0.00-50.00)mg/L，饱和度：(0.0-300.0)%</w:t>
            </w:r>
          </w:p>
        </w:tc>
        <w:tc>
          <w:tcPr>
            <w:tcW w:w="258" w:type="pct"/>
            <w:noWrap w:val="0"/>
            <w:vAlign w:val="center"/>
          </w:tcPr>
          <w:p w14:paraId="234E270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185" w:type="pct"/>
            <w:noWrap w:val="0"/>
            <w:vAlign w:val="center"/>
          </w:tcPr>
          <w:p w14:paraId="46D5D6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1" w:type="pct"/>
            <w:noWrap w:val="0"/>
            <w:vAlign w:val="center"/>
          </w:tcPr>
          <w:p w14:paraId="0E41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1" w:type="pct"/>
            <w:noWrap w:val="0"/>
            <w:vAlign w:val="center"/>
          </w:tcPr>
          <w:p w14:paraId="7278A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7" w:type="pct"/>
            <w:noWrap w:val="0"/>
            <w:vAlign w:val="center"/>
          </w:tcPr>
          <w:p w14:paraId="557144FC">
            <w:pPr>
              <w:jc w:val="center"/>
              <w:rPr>
                <w:szCs w:val="21"/>
              </w:rPr>
            </w:pPr>
          </w:p>
        </w:tc>
      </w:tr>
      <w:tr w14:paraId="0F7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1" w:hRule="exact"/>
        </w:trPr>
        <w:tc>
          <w:tcPr>
            <w:tcW w:w="231" w:type="pct"/>
            <w:noWrap w:val="0"/>
            <w:vAlign w:val="center"/>
          </w:tcPr>
          <w:p w14:paraId="6B0497A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86" w:type="pct"/>
            <w:noWrap w:val="0"/>
            <w:vAlign w:val="center"/>
          </w:tcPr>
          <w:p w14:paraId="50D662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紫外可见分光光度计</w:t>
            </w:r>
          </w:p>
        </w:tc>
        <w:tc>
          <w:tcPr>
            <w:tcW w:w="457" w:type="pct"/>
            <w:noWrap w:val="0"/>
            <w:vAlign w:val="center"/>
          </w:tcPr>
          <w:p w14:paraId="13D14021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noWrap w:val="0"/>
            <w:vAlign w:val="center"/>
          </w:tcPr>
          <w:p w14:paraId="69D105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 w:val="20"/>
                <w:szCs w:val="21"/>
              </w:rPr>
              <w:t>北京普析T500</w:t>
            </w:r>
          </w:p>
        </w:tc>
        <w:tc>
          <w:tcPr>
            <w:tcW w:w="1910" w:type="pct"/>
            <w:noWrap w:val="0"/>
            <w:vAlign w:val="center"/>
          </w:tcPr>
          <w:p w14:paraId="43A62219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1.波长范围：190nm~1100nm，</w:t>
            </w:r>
          </w:p>
          <w:p w14:paraId="41B615AA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2.波长示值误差：±1.0nm</w:t>
            </w:r>
          </w:p>
          <w:p w14:paraId="4CB53ED7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3.波长重复性：≤0.2nm</w:t>
            </w:r>
          </w:p>
          <w:p w14:paraId="7F7605DB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4.最小光谱带宽：2.0nm±0.4nm</w:t>
            </w:r>
          </w:p>
          <w:p w14:paraId="1CDCFE80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5.杂散光：≤0.05%</w:t>
            </w:r>
          </w:p>
          <w:p w14:paraId="7C58F67F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6.光度范围：-0.3 Abs~3 Abs</w:t>
            </w:r>
          </w:p>
          <w:p w14:paraId="3EFCB1B7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7.透射比示值误差：±0.002(0Abs~0.5Abs)；±0.004(0.5Abs~1Abs)；±0.3 %</w:t>
            </w:r>
          </w:p>
          <w:p w14:paraId="7AB792A4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8.透射比重复性：≤0.001(0Abs~0.5Abs)；≤0.002(0.5Abs~1Abs)；≤0.15 %</w:t>
            </w:r>
          </w:p>
          <w:p w14:paraId="037246DC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9.基线平直度(吸光度)：±0.002(200nm~1090nm)</w:t>
            </w:r>
          </w:p>
          <w:p w14:paraId="7560D07E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10.噪声：≤0.15%(500nm、250nm，P~P)开机预热半小时后</w:t>
            </w:r>
          </w:p>
          <w:p w14:paraId="210A25AF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11.基线漂移：≤0.35%/h（500nm）开机预热2小时后</w:t>
            </w:r>
          </w:p>
          <w:p w14:paraId="34C093B4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12.可设置用户登陆权限，可记录操作日志，方便进行审计追踪。</w:t>
            </w:r>
          </w:p>
          <w:p w14:paraId="2B26A081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13.全密封结构、光学镜面具备SiO2保护膜，保护光学元器件不受气体和环境的影响。</w:t>
            </w:r>
          </w:p>
          <w:p w14:paraId="4EE1F20C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14.电机直驱光栅，取代传统丝杆传动机构，不需要再对传动机构做常规维护。</w:t>
            </w:r>
          </w:p>
          <w:p w14:paraId="4C3E17AD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15.波长移动速度可达7000nm/min，波长扫描速度可达2500nm/min，提高用户工作效率。</w:t>
            </w:r>
          </w:p>
          <w:p w14:paraId="2F5C69DE">
            <w:pPr>
              <w:ind w:left="425" w:hanging="425"/>
              <w:rPr>
                <w:rFonts w:ascii="宋体" w:hAnsi="宋体" w:cs="宋体"/>
                <w:color w:val="000000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16.使用7寸彩色触控屏幕，显示效果清晰生动，操控和输入更加便捷。</w:t>
            </w:r>
          </w:p>
          <w:p w14:paraId="33388C77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17.支持U盘导出数据，数据管理和处理方便快捷，增加数据存储空间，提高使用灵活性。</w:t>
            </w:r>
          </w:p>
          <w:p w14:paraId="2F793777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18.内置比色皿存放架，具有灯寿命自动监测系统。</w:t>
            </w:r>
          </w:p>
          <w:p w14:paraId="2DD05C8A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19.可升级与计算机连接，使用工作站软件实现用户管理、GLP规范、数据分析处理更多能。</w:t>
            </w:r>
          </w:p>
          <w:p w14:paraId="111B0281">
            <w:pPr>
              <w:ind w:left="425" w:hanging="425"/>
              <w:rPr>
                <w:rFonts w:ascii="宋体" w:hAnsi="宋体" w:cs="宋体"/>
                <w:color w:val="000000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20.自带定量、光谱扫描件功能。支持在线升级，可后续进行蛋白质测量、农残测量等应用功能新增。</w:t>
            </w:r>
          </w:p>
          <w:p w14:paraId="4DCE0371">
            <w:pPr>
              <w:ind w:left="425" w:hanging="425"/>
              <w:rPr>
                <w:rFonts w:ascii="宋体" w:hAnsi="宋体" w:cs="宋体"/>
                <w:color w:val="000000"/>
                <w:sz w:val="16"/>
              </w:rPr>
            </w:pPr>
          </w:p>
        </w:tc>
        <w:tc>
          <w:tcPr>
            <w:tcW w:w="258" w:type="pct"/>
            <w:noWrap w:val="0"/>
            <w:vAlign w:val="center"/>
          </w:tcPr>
          <w:p w14:paraId="2A7046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185" w:type="pct"/>
            <w:noWrap w:val="0"/>
            <w:vAlign w:val="center"/>
          </w:tcPr>
          <w:p w14:paraId="5A4B70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1" w:type="pct"/>
            <w:noWrap w:val="0"/>
            <w:vAlign w:val="center"/>
          </w:tcPr>
          <w:p w14:paraId="480E4C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1" w:type="pct"/>
            <w:noWrap w:val="0"/>
            <w:vAlign w:val="center"/>
          </w:tcPr>
          <w:p w14:paraId="74DA3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7" w:type="pct"/>
            <w:noWrap w:val="0"/>
            <w:vAlign w:val="center"/>
          </w:tcPr>
          <w:p w14:paraId="15268160">
            <w:pPr>
              <w:jc w:val="center"/>
              <w:rPr>
                <w:szCs w:val="21"/>
              </w:rPr>
            </w:pPr>
          </w:p>
        </w:tc>
      </w:tr>
      <w:tr w14:paraId="67CA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</w:trPr>
        <w:tc>
          <w:tcPr>
            <w:tcW w:w="231" w:type="pct"/>
            <w:noWrap w:val="0"/>
            <w:vAlign w:val="center"/>
          </w:tcPr>
          <w:p w14:paraId="29BC251E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486" w:type="pct"/>
            <w:noWrap w:val="0"/>
            <w:vAlign w:val="center"/>
          </w:tcPr>
          <w:p w14:paraId="57A99C42">
            <w:pPr>
              <w:jc w:val="center"/>
              <w:rPr>
                <w:szCs w:val="21"/>
              </w:rPr>
            </w:pPr>
          </w:p>
        </w:tc>
        <w:tc>
          <w:tcPr>
            <w:tcW w:w="457" w:type="pct"/>
            <w:noWrap w:val="0"/>
            <w:vAlign w:val="center"/>
          </w:tcPr>
          <w:p w14:paraId="69FD89C1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noWrap w:val="0"/>
            <w:vAlign w:val="center"/>
          </w:tcPr>
          <w:p w14:paraId="7E6DD652">
            <w:pPr>
              <w:jc w:val="center"/>
              <w:rPr>
                <w:rFonts w:ascii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1910" w:type="pct"/>
            <w:noWrap w:val="0"/>
            <w:vAlign w:val="center"/>
          </w:tcPr>
          <w:p w14:paraId="0D274A41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21.开放式的样品室设计，可进行各种附件应用和实验。</w:t>
            </w:r>
          </w:p>
          <w:p w14:paraId="25CC426B">
            <w:pPr>
              <w:ind w:left="425" w:hanging="425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22.支持微型打印机，方便用户的使用。</w:t>
            </w:r>
          </w:p>
          <w:p w14:paraId="2AD3BF88">
            <w:pPr>
              <w:ind w:left="425" w:hanging="425"/>
              <w:rPr>
                <w:rFonts w:ascii="宋体" w:hAnsi="宋体" w:cs="宋体"/>
                <w:color w:val="000000"/>
                <w:sz w:val="16"/>
              </w:rPr>
            </w:pPr>
            <w:r>
              <w:rPr>
                <w:rFonts w:ascii="宋体" w:hAnsi="宋体" w:cs="宋体"/>
                <w:color w:val="000000"/>
                <w:sz w:val="16"/>
              </w:rPr>
              <w:t>23.为了保证培训质量，制造商具有NTC培训、考核双资质，质量管理体系认证、环境管理体系认证和职业健康安全管理体系认证（提供证书并盖制造厂商公章）</w:t>
            </w:r>
          </w:p>
          <w:p w14:paraId="28A9ABB3">
            <w:pPr>
              <w:jc w:val="left"/>
              <w:rPr>
                <w:rFonts w:ascii="宋体" w:hAnsi="宋体" w:cs="宋体"/>
                <w:sz w:val="16"/>
                <w:szCs w:val="18"/>
              </w:rPr>
            </w:pPr>
          </w:p>
        </w:tc>
        <w:tc>
          <w:tcPr>
            <w:tcW w:w="258" w:type="pct"/>
            <w:noWrap w:val="0"/>
            <w:vAlign w:val="center"/>
          </w:tcPr>
          <w:p w14:paraId="348E0254">
            <w:pPr>
              <w:jc w:val="center"/>
              <w:rPr>
                <w:szCs w:val="21"/>
              </w:rPr>
            </w:pPr>
          </w:p>
        </w:tc>
        <w:tc>
          <w:tcPr>
            <w:tcW w:w="185" w:type="pct"/>
            <w:noWrap w:val="0"/>
            <w:vAlign w:val="center"/>
          </w:tcPr>
          <w:p w14:paraId="158C5E2D">
            <w:pPr>
              <w:jc w:val="center"/>
              <w:rPr>
                <w:szCs w:val="21"/>
              </w:rPr>
            </w:pPr>
          </w:p>
        </w:tc>
        <w:tc>
          <w:tcPr>
            <w:tcW w:w="311" w:type="pct"/>
            <w:noWrap w:val="0"/>
            <w:vAlign w:val="center"/>
          </w:tcPr>
          <w:p w14:paraId="3A96E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1" w:type="pct"/>
            <w:noWrap w:val="0"/>
            <w:vAlign w:val="center"/>
          </w:tcPr>
          <w:p w14:paraId="5877C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7" w:type="pct"/>
            <w:noWrap w:val="0"/>
            <w:vAlign w:val="center"/>
          </w:tcPr>
          <w:p w14:paraId="4A8AF5F5">
            <w:pPr>
              <w:jc w:val="center"/>
              <w:rPr>
                <w:szCs w:val="21"/>
              </w:rPr>
            </w:pPr>
          </w:p>
        </w:tc>
      </w:tr>
      <w:tr w14:paraId="7B99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</w:trPr>
        <w:tc>
          <w:tcPr>
            <w:tcW w:w="231" w:type="pct"/>
            <w:noWrap w:val="0"/>
            <w:vAlign w:val="center"/>
          </w:tcPr>
          <w:p w14:paraId="25E2935B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86" w:type="pct"/>
            <w:noWrap w:val="0"/>
            <w:vAlign w:val="center"/>
          </w:tcPr>
          <w:p w14:paraId="63A9A7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3D打印机</w:t>
            </w:r>
          </w:p>
        </w:tc>
        <w:tc>
          <w:tcPr>
            <w:tcW w:w="457" w:type="pct"/>
            <w:noWrap w:val="0"/>
            <w:vAlign w:val="center"/>
          </w:tcPr>
          <w:p w14:paraId="23A5B963">
            <w:pPr>
              <w:jc w:val="center"/>
              <w:rPr>
                <w:szCs w:val="21"/>
              </w:rPr>
            </w:pPr>
          </w:p>
        </w:tc>
        <w:tc>
          <w:tcPr>
            <w:tcW w:w="501" w:type="pct"/>
            <w:noWrap w:val="0"/>
            <w:vAlign w:val="center"/>
          </w:tcPr>
          <w:p w14:paraId="78283B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拓竹</w:t>
            </w:r>
          </w:p>
          <w:p w14:paraId="6474E3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X1C（大陆版）</w:t>
            </w:r>
          </w:p>
        </w:tc>
        <w:tc>
          <w:tcPr>
            <w:tcW w:w="1910" w:type="pct"/>
            <w:noWrap w:val="0"/>
            <w:vAlign w:val="center"/>
          </w:tcPr>
          <w:p w14:paraId="20840BC1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6"/>
              </w:rPr>
            </w:pPr>
            <w:r>
              <w:rPr>
                <w:rFonts w:ascii="宋体" w:hAnsi="宋体" w:cs="宋体"/>
                <w:sz w:val="16"/>
              </w:rPr>
              <w:t>桌面FDM全自动调平大尺寸多色高速3d打印机器、智能激光雷达、适配高性能耗材、支持扩展16色；</w:t>
            </w:r>
          </w:p>
          <w:p w14:paraId="1FCC5C63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6"/>
                <w:szCs w:val="18"/>
              </w:rPr>
            </w:pPr>
            <w:r>
              <w:rPr>
                <w:rFonts w:ascii="宋体" w:hAnsi="宋体" w:cs="宋体"/>
                <w:sz w:val="16"/>
              </w:rPr>
              <w:t>50HRC硬化钢喷嘴、300℃全金属热端、120℃高温热床、60℃腔温；</w:t>
            </w:r>
          </w:p>
          <w:p w14:paraId="564615A4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6"/>
                <w:szCs w:val="18"/>
              </w:rPr>
            </w:pPr>
            <w:r>
              <w:rPr>
                <w:rFonts w:ascii="宋体" w:hAnsi="宋体" w:cs="宋体"/>
                <w:sz w:val="16"/>
                <w:szCs w:val="18"/>
              </w:rPr>
              <w:t>单机含AMS;</w:t>
            </w:r>
          </w:p>
          <w:p w14:paraId="27ADE551">
            <w:pPr>
              <w:numPr>
                <w:ilvl w:val="0"/>
                <w:numId w:val="2"/>
              </w:numPr>
              <w:jc w:val="left"/>
              <w:rPr>
                <w:rFonts w:ascii="宋体" w:hAnsi="宋体" w:cs="宋体"/>
                <w:sz w:val="16"/>
                <w:szCs w:val="18"/>
              </w:rPr>
            </w:pPr>
            <w:r>
              <w:rPr>
                <w:rFonts w:ascii="宋体" w:hAnsi="宋体" w:cs="宋体"/>
                <w:sz w:val="16"/>
              </w:rPr>
              <w:t>配置专用笔记本电脑一部；</w:t>
            </w:r>
          </w:p>
        </w:tc>
        <w:tc>
          <w:tcPr>
            <w:tcW w:w="258" w:type="pct"/>
            <w:noWrap w:val="0"/>
            <w:vAlign w:val="center"/>
          </w:tcPr>
          <w:p w14:paraId="022868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台</w:t>
            </w:r>
          </w:p>
        </w:tc>
        <w:tc>
          <w:tcPr>
            <w:tcW w:w="185" w:type="pct"/>
            <w:noWrap w:val="0"/>
            <w:vAlign w:val="center"/>
          </w:tcPr>
          <w:p w14:paraId="74CF9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1" w:type="pct"/>
            <w:noWrap w:val="0"/>
            <w:vAlign w:val="center"/>
          </w:tcPr>
          <w:p w14:paraId="7B281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1" w:type="pct"/>
            <w:noWrap w:val="0"/>
            <w:vAlign w:val="center"/>
          </w:tcPr>
          <w:p w14:paraId="3B857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7" w:type="pct"/>
            <w:noWrap w:val="0"/>
            <w:vAlign w:val="center"/>
          </w:tcPr>
          <w:p w14:paraId="3CAB9F39">
            <w:pPr>
              <w:rPr>
                <w:szCs w:val="21"/>
              </w:rPr>
            </w:pPr>
          </w:p>
        </w:tc>
      </w:tr>
      <w:tr w14:paraId="009B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</w:trPr>
        <w:tc>
          <w:tcPr>
            <w:tcW w:w="231" w:type="pct"/>
            <w:noWrap w:val="0"/>
            <w:vAlign w:val="center"/>
          </w:tcPr>
          <w:p w14:paraId="724F38FD">
            <w:pPr>
              <w:spacing w:line="4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预算金额</w:t>
            </w:r>
          </w:p>
        </w:tc>
        <w:tc>
          <w:tcPr>
            <w:tcW w:w="4768" w:type="pct"/>
            <w:gridSpan w:val="9"/>
            <w:noWrap w:val="0"/>
            <w:vAlign w:val="center"/>
          </w:tcPr>
          <w:p w14:paraId="5239D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195000</w:t>
            </w:r>
          </w:p>
        </w:tc>
      </w:tr>
    </w:tbl>
    <w:p w14:paraId="5D0B538F">
      <w:pPr>
        <w:spacing w:line="42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9F659AA">
      <w:pPr>
        <w:widowControl/>
        <w:wordWrap w:val="0"/>
        <w:spacing w:line="520" w:lineRule="exact"/>
        <w:rPr>
          <w:rFonts w:hint="eastAsia" w:eastAsia="仿宋_GB2312"/>
          <w:kern w:val="0"/>
          <w:sz w:val="32"/>
          <w:szCs w:val="32"/>
        </w:rPr>
      </w:pPr>
    </w:p>
    <w:p w14:paraId="45056510">
      <w:bookmarkStart w:id="0" w:name="_GoBack"/>
      <w:bookmarkEnd w:id="0"/>
    </w:p>
    <w:sectPr>
      <w:pgSz w:w="16838" w:h="11906" w:orient="landscape"/>
      <w:pgMar w:top="1588" w:right="1418" w:bottom="158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01603"/>
    <w:rsid w:val="3AE0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2025-06-16T01:41:00Z</dcterms:created>
  <dc:creator>米若（mirror）</dc:creator>
  <cp:lastModifiedBy>米若（mirror）</cp:lastModifiedBy>
  <dcterms:modified xsi:type="dcterms:W3CDTF">2025-06-16T01:42:03Z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F15CCBC138B44BC7801CFD199BE1226B_11</vt:lpwstr>
  </property>
  <property fmtid="{D5CDD505-2E9C-101B-9397-08002B2CF9AE}" pid="4" name="KSOTemplateDocerSaveRecord">
    <vt:lpwstr>eyJoZGlkIjoiMjk2MDIwNGMzNDg1MTQ2NmY5YzU1ZjJlZTE0MWQ4N2YiLCJ1c2VySWQiOiI0MTIwMjUzNjcifQ==</vt:lpwstr>
  </property>
</Properties>
</file>